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药物临床试验项目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hAnsi="楷体" w:eastAsia="楷体"/>
          <w:b/>
          <w:bCs/>
          <w:sz w:val="30"/>
          <w:szCs w:val="30"/>
        </w:rPr>
      </w:pPr>
      <w:r>
        <w:rPr>
          <w:rFonts w:hint="eastAsia" w:ascii="宋体" w:hAnsi="宋体" w:eastAsia="宋体" w:cs="宋体"/>
          <w:b/>
          <w:bCs/>
          <w:sz w:val="40"/>
          <w:szCs w:val="40"/>
          <w:lang w:val="en-US" w:eastAsia="zh-CN"/>
        </w:rPr>
        <w:t>自查核查记录表</w:t>
      </w:r>
    </w:p>
    <w:p>
      <w:pPr>
        <w:spacing w:line="360" w:lineRule="exact"/>
        <w:jc w:val="center"/>
        <w:rPr>
          <w:rFonts w:ascii="楷体" w:hAnsi="楷体" w:eastAsia="楷体"/>
          <w:b/>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项目基本信息</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94"/>
        <w:gridCol w:w="2059"/>
        <w:gridCol w:w="1200"/>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项目名称</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批件号</w:t>
            </w:r>
          </w:p>
        </w:tc>
        <w:tc>
          <w:tcPr>
            <w:tcW w:w="1208"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c>
          <w:tcPr>
            <w:tcW w:w="704"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合同编号</w:t>
            </w:r>
          </w:p>
        </w:tc>
        <w:tc>
          <w:tcPr>
            <w:tcW w:w="1976"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b/>
                <w:bCs/>
                <w:sz w:val="24"/>
                <w:szCs w:val="24"/>
                <w:lang w:eastAsia="zh-CN"/>
              </w:rPr>
            </w:pPr>
            <w:r>
              <w:rPr>
                <w:rFonts w:hint="eastAsia" w:ascii="宋体" w:hAnsi="宋体" w:cs="宋体"/>
                <w:b/>
                <w:bCs/>
                <w:sz w:val="24"/>
                <w:szCs w:val="24"/>
                <w:lang w:eastAsia="zh-CN"/>
              </w:rPr>
              <w:t>分期</w:t>
            </w:r>
          </w:p>
        </w:tc>
        <w:tc>
          <w:tcPr>
            <w:tcW w:w="1208"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lang w:eastAsia="zh-CN"/>
              </w:rPr>
            </w:pPr>
            <w:r>
              <w:rPr>
                <w:rFonts w:hint="eastAsia" w:ascii="宋体" w:hAnsi="宋体" w:eastAsia="宋体" w:cs="宋体"/>
                <w:color w:val="000000"/>
                <w:kern w:val="2"/>
                <w:sz w:val="21"/>
                <w:szCs w:val="21"/>
                <w:lang w:val="en-US" w:eastAsia="zh-CN" w:bidi="ar"/>
              </w:rPr>
              <w:t>期</w:t>
            </w:r>
          </w:p>
        </w:tc>
        <w:tc>
          <w:tcPr>
            <w:tcW w:w="704"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例数</w:t>
            </w:r>
          </w:p>
        </w:tc>
        <w:tc>
          <w:tcPr>
            <w:tcW w:w="1976" w:type="pct"/>
            <w:vAlign w:val="center"/>
          </w:tcPr>
          <w:p>
            <w:pPr>
              <w:keepNext w:val="0"/>
              <w:keepLines w:val="0"/>
              <w:suppressLineNumbers w:val="0"/>
              <w:spacing w:before="0" w:beforeAutospacing="0" w:after="0" w:afterAutospacing="0" w:line="360" w:lineRule="exact"/>
              <w:ind w:left="0" w:right="0"/>
              <w:jc w:val="left"/>
              <w:rPr>
                <w:rFonts w:hint="default" w:ascii="宋体" w:hAnsi="宋体" w:eastAsia="宋体" w:cs="宋体"/>
                <w:sz w:val="24"/>
                <w:szCs w:val="24"/>
                <w:lang w:val="en-US" w:eastAsia="zh-CN"/>
              </w:rPr>
            </w:pPr>
            <w:r>
              <w:rPr>
                <w:rFonts w:hint="eastAsia" w:ascii="宋体" w:hAnsi="宋体" w:eastAsia="宋体" w:cs="宋体"/>
                <w:color w:val="000000"/>
                <w:kern w:val="2"/>
                <w:sz w:val="21"/>
                <w:szCs w:val="21"/>
                <w:lang w:val="en-US" w:eastAsia="zh-CN" w:bidi="ar"/>
              </w:rPr>
              <w:t>筛选：</w:t>
            </w:r>
            <w:r>
              <w:rPr>
                <w:rFonts w:hint="eastAsia" w:ascii="宋体" w:hAnsi="宋体" w:cs="宋体"/>
                <w:color w:val="000000"/>
                <w:kern w:val="2"/>
                <w:sz w:val="21"/>
                <w:szCs w:val="21"/>
                <w:lang w:val="en-US" w:eastAsia="zh-CN" w:bidi="ar"/>
              </w:rPr>
              <w:t xml:space="preserve"> 例，</w:t>
            </w:r>
            <w:r>
              <w:rPr>
                <w:rFonts w:hint="eastAsia" w:ascii="宋体" w:hAnsi="宋体" w:eastAsia="宋体" w:cs="宋体"/>
                <w:color w:val="000000"/>
                <w:kern w:val="2"/>
                <w:sz w:val="21"/>
                <w:szCs w:val="21"/>
                <w:lang w:val="en-US" w:eastAsia="zh-CN" w:bidi="ar"/>
              </w:rPr>
              <w:t>入组：</w:t>
            </w:r>
            <w:r>
              <w:rPr>
                <w:rFonts w:hint="eastAsia" w:ascii="宋体" w:hAnsi="宋体" w:cs="宋体"/>
                <w:color w:val="000000"/>
                <w:kern w:val="2"/>
                <w:sz w:val="21"/>
                <w:szCs w:val="21"/>
                <w:lang w:val="en-US" w:eastAsia="zh-CN" w:bidi="ar"/>
              </w:rPr>
              <w:t xml:space="preserve"> 例，</w:t>
            </w:r>
            <w:r>
              <w:rPr>
                <w:rFonts w:hint="eastAsia" w:ascii="宋体" w:hAnsi="宋体" w:eastAsia="宋体" w:cs="宋体"/>
                <w:color w:val="000000"/>
                <w:kern w:val="2"/>
                <w:sz w:val="21"/>
                <w:szCs w:val="21"/>
                <w:lang w:val="en-US" w:eastAsia="zh-CN" w:bidi="ar"/>
              </w:rPr>
              <w:t>完成：</w:t>
            </w:r>
            <w:r>
              <w:rPr>
                <w:rFonts w:hint="eastAsia" w:ascii="宋体" w:hAnsi="宋体" w:cs="宋体"/>
                <w:color w:val="000000"/>
                <w:kern w:val="2"/>
                <w:sz w:val="21"/>
                <w:szCs w:val="21"/>
                <w:lang w:val="en-US" w:eastAsia="zh-CN" w:bidi="ar"/>
              </w:rPr>
              <w:t xml:space="preserve"> 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专业</w:t>
            </w:r>
          </w:p>
        </w:tc>
        <w:tc>
          <w:tcPr>
            <w:tcW w:w="1208"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c>
          <w:tcPr>
            <w:tcW w:w="704"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lang w:eastAsia="zh-CN"/>
              </w:rPr>
              <w:t>主要研究者</w:t>
            </w:r>
          </w:p>
        </w:tc>
        <w:tc>
          <w:tcPr>
            <w:tcW w:w="1976"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申办方名称</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CRO</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SMO</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分配病例数</w:t>
            </w:r>
          </w:p>
        </w:tc>
        <w:tc>
          <w:tcPr>
            <w:tcW w:w="1208"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c>
          <w:tcPr>
            <w:tcW w:w="704"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r>
              <w:rPr>
                <w:rFonts w:hint="eastAsia" w:ascii="宋体" w:hAnsi="宋体" w:cs="宋体"/>
                <w:b/>
                <w:bCs/>
                <w:sz w:val="24"/>
                <w:szCs w:val="24"/>
                <w:lang w:eastAsia="zh-CN"/>
              </w:rPr>
              <w:t>入组例数</w:t>
            </w:r>
          </w:p>
        </w:tc>
        <w:tc>
          <w:tcPr>
            <w:tcW w:w="1976"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bl>
    <w:p>
      <w:pPr>
        <w:numPr>
          <w:ilvl w:val="0"/>
          <w:numId w:val="0"/>
        </w:numPr>
        <w:ind w:left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sz w:val="24"/>
          <w:szCs w:val="24"/>
          <w:lang w:val="en-US" w:eastAsia="zh-CN"/>
        </w:rPr>
      </w:pPr>
      <w:r>
        <w:rPr>
          <w:rFonts w:hint="eastAsia"/>
          <w:b/>
          <w:bCs/>
          <w:sz w:val="24"/>
          <w:szCs w:val="24"/>
          <w:lang w:eastAsia="zh-CN"/>
        </w:rPr>
        <w:t>二、自查内容</w:t>
      </w:r>
    </w:p>
    <w:tbl>
      <w:tblPr>
        <w:tblStyle w:val="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7653"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自查要点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shd w:val="clear" w:color="auto" w:fill="auto"/>
          </w:tcPr>
          <w:p>
            <w:pPr>
              <w:keepNext w:val="0"/>
              <w:keepLines w:val="0"/>
              <w:suppressLineNumbers w:val="0"/>
              <w:spacing w:before="0" w:beforeAutospacing="0" w:after="0" w:afterAutospacing="0" w:line="360" w:lineRule="exact"/>
              <w:ind w:left="0" w:right="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一、临床试验许可与条件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开展临床试验，应当获得药品监督管理部门许可，生物等效性试验应按照要求完成备案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具有药物临床试验伦理委员会批件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临床试验各环节参与人员具有能够承担临床试验工作相应的教育、培训和经验，并得到主要研究者的授权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研究者、临床试验机构与申办者在试验开始前签署临床试验合同，对相关的权利与义务进行约定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申办者</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合同研究组织（</w:t>
            </w:r>
            <w:r>
              <w:rPr>
                <w:rFonts w:hint="default" w:ascii="宋体" w:hAnsi="宋体" w:eastAsia="宋体" w:cs="宋体"/>
                <w:color w:val="000000"/>
                <w:kern w:val="2"/>
                <w:sz w:val="21"/>
                <w:szCs w:val="21"/>
                <w:lang w:val="en-US" w:eastAsia="zh-CN" w:bidi="ar"/>
              </w:rPr>
              <w:t>CRO</w:t>
            </w:r>
            <w:r>
              <w:rPr>
                <w:rFonts w:hint="eastAsia" w:ascii="宋体" w:hAnsi="宋体" w:eastAsia="宋体" w:cs="宋体"/>
                <w:color w:val="000000"/>
                <w:kern w:val="2"/>
                <w:sz w:val="21"/>
                <w:szCs w:val="21"/>
                <w:lang w:val="en-US" w:eastAsia="zh-CN" w:bidi="ar"/>
              </w:rPr>
              <w:t>）按照药物临床试验质量管理规范（</w:t>
            </w:r>
            <w:r>
              <w:rPr>
                <w:rFonts w:hint="default" w:ascii="宋体" w:hAnsi="宋体" w:eastAsia="宋体" w:cs="宋体"/>
                <w:color w:val="000000"/>
                <w:kern w:val="2"/>
                <w:sz w:val="21"/>
                <w:szCs w:val="21"/>
                <w:lang w:val="en-US" w:eastAsia="zh-CN" w:bidi="ar"/>
              </w:rPr>
              <w:t>GCP</w:t>
            </w:r>
            <w:r>
              <w:rPr>
                <w:rFonts w:hint="eastAsia" w:ascii="宋体" w:hAnsi="宋体" w:eastAsia="宋体" w:cs="宋体"/>
                <w:color w:val="000000"/>
                <w:kern w:val="2"/>
                <w:sz w:val="21"/>
                <w:szCs w:val="21"/>
                <w:lang w:val="en-US" w:eastAsia="zh-CN" w:bidi="ar"/>
              </w:rPr>
              <w:t>）、临床试验方案及合同履行了相应职责，并保存相关文件和记录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医疗机构临床实验室保证检验检测系统的完整性和有效性，对需要校准的检验仪器、对临床检验结果有影响的辅助设备及临床试验需要的其他设备等进行定期校准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医疗机构临床实验室参加经国家卫生健康部门认定的室间质量评价机构组织的临床检验室间质量评价并取得通过证书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二、伦理审查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伦理委员会关注受试者的损害是否得到及时的医学处理，监督申办者、研究者及时兑现给与受试者的补偿或赔偿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试验方案设计符合我国</w:t>
            </w:r>
            <w:r>
              <w:rPr>
                <w:rFonts w:hint="default" w:ascii="宋体" w:hAnsi="宋体" w:eastAsia="宋体" w:cs="宋体"/>
                <w:color w:val="000000"/>
                <w:kern w:val="2"/>
                <w:sz w:val="21"/>
                <w:szCs w:val="21"/>
                <w:lang w:val="en-US" w:eastAsia="zh-CN" w:bidi="ar"/>
              </w:rPr>
              <w:t>GCP</w:t>
            </w:r>
            <w:r>
              <w:rPr>
                <w:rFonts w:hint="eastAsia" w:ascii="宋体" w:hAnsi="宋体" w:eastAsia="宋体" w:cs="宋体"/>
                <w:color w:val="000000"/>
                <w:kern w:val="2"/>
                <w:sz w:val="21"/>
                <w:szCs w:val="21"/>
                <w:lang w:val="en-US" w:eastAsia="zh-CN" w:bidi="ar"/>
              </w:rPr>
              <w:t>要求，试验用相关日记卡、问卷等的设计应能满足临床试验数据的收集和可溯源性要求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b/>
                <w:bCs/>
                <w:sz w:val="24"/>
                <w:szCs w:val="24"/>
                <w:lang w:val="en-US" w:eastAsia="zh-CN"/>
              </w:rPr>
              <w:t>三、临床试验实施过程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1.知情同意书的签署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知情同意书的内容符合GCP要求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2"/>
                <w:sz w:val="21"/>
                <w:szCs w:val="21"/>
                <w:lang w:val="en-US" w:eastAsia="zh-CN" w:bidi="ar"/>
              </w:rPr>
              <w:t>筛选的受试者均签署知情同意书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2"/>
                <w:sz w:val="21"/>
                <w:szCs w:val="21"/>
                <w:lang w:val="en-US" w:eastAsia="zh-CN" w:bidi="ar"/>
              </w:rPr>
              <w:t>知情同意书中受试者和/或监护人（如需要）、研究者、公平见证人（如需要）的签字和签署时间、签署版本等符合GCP要求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2"/>
                <w:sz w:val="21"/>
                <w:szCs w:val="21"/>
                <w:lang w:val="en-US" w:eastAsia="zh-CN" w:bidi="ar"/>
              </w:rPr>
              <w:t>知情同意书签署时间不得早于伦理批准时间，筛选时间不得早于知情同意书签署时间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vertAlign w:val="baseline"/>
                <w:lang w:eastAsia="zh-CN"/>
              </w:rPr>
            </w:pPr>
            <w:r>
              <w:rPr>
                <w:rFonts w:hint="eastAsia" w:ascii="宋体" w:hAnsi="宋体" w:eastAsia="宋体" w:cs="宋体"/>
                <w:color w:val="000000"/>
                <w:kern w:val="2"/>
                <w:sz w:val="21"/>
                <w:szCs w:val="21"/>
                <w:lang w:val="en-US" w:eastAsia="zh-CN" w:bidi="ar"/>
              </w:rPr>
              <w:t>向受试者或其监护人解释试验内容并获得知情同意的研究者或指定研究人员为经过授权的研究人员，且具备在本院的执业资质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2.受试者筛选入组及方案执行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有源数据支持以证实所有受试者确实参与了临床试验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受试者筛选应遵守临床试验方案规定的入选</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排除标准，入组受试者应保留足够的支持性证据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研究者遵守临床试验方案规定的随机化程序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盲法试验（如涉及）按照试验方案的要求设盲、保持盲态和实施揭盲；意外破盲或因</w:t>
            </w:r>
            <w:r>
              <w:rPr>
                <w:rFonts w:hint="default" w:ascii="宋体" w:hAnsi="宋体" w:eastAsia="宋体" w:cs="宋体"/>
                <w:color w:val="000000"/>
                <w:kern w:val="2"/>
                <w:sz w:val="21"/>
                <w:szCs w:val="21"/>
                <w:lang w:val="en-US" w:eastAsia="zh-CN" w:bidi="ar"/>
              </w:rPr>
              <w:t>SAE</w:t>
            </w:r>
            <w:r>
              <w:rPr>
                <w:rFonts w:hint="eastAsia" w:ascii="宋体" w:hAnsi="宋体" w:eastAsia="宋体" w:cs="宋体"/>
                <w:color w:val="000000"/>
                <w:kern w:val="2"/>
                <w:sz w:val="21"/>
                <w:szCs w:val="21"/>
                <w:lang w:val="en-US" w:eastAsia="zh-CN" w:bidi="ar"/>
              </w:rPr>
              <w:t>（严重不良事件）等需紧急揭盲时，研究者应按照紧急揭盲规程操作并书面说明原因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按照临床试验方案规定的试验流程和评估方法实施试验（如访视、给药、采血、安全性检查和疗效评估等），采取措施保证关键步骤实施的准确性，并保存相关记录，如偏离试验方案应予以记录和解释，合并用药或合并治疗与禁用药物的记录符合方案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3.安全性信息处理与报告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对受试者的相关医学判断和临床决策由本机构具有执业资格的医学专业人员执行并记录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研究者应完整记录</w:t>
            </w:r>
            <w:r>
              <w:rPr>
                <w:rFonts w:hint="default" w:ascii="宋体" w:hAnsi="宋体" w:eastAsia="宋体" w:cs="宋体"/>
                <w:color w:val="000000"/>
                <w:kern w:val="2"/>
                <w:sz w:val="21"/>
                <w:szCs w:val="21"/>
                <w:lang w:val="en-US" w:eastAsia="zh-CN" w:bidi="ar"/>
              </w:rPr>
              <w:t>AE</w:t>
            </w:r>
            <w:r>
              <w:rPr>
                <w:rFonts w:hint="eastAsia" w:ascii="宋体" w:hAnsi="宋体" w:eastAsia="宋体" w:cs="宋体"/>
                <w:color w:val="000000"/>
                <w:kern w:val="2"/>
                <w:sz w:val="21"/>
                <w:szCs w:val="21"/>
                <w:lang w:val="en-US" w:eastAsia="zh-CN" w:bidi="ar"/>
              </w:rPr>
              <w:t>（不良事件）、</w:t>
            </w:r>
            <w:r>
              <w:rPr>
                <w:rFonts w:hint="default" w:ascii="宋体" w:hAnsi="宋体" w:eastAsia="宋体" w:cs="宋体"/>
                <w:color w:val="000000"/>
                <w:kern w:val="2"/>
                <w:sz w:val="21"/>
                <w:szCs w:val="21"/>
                <w:lang w:val="en-US" w:eastAsia="zh-CN" w:bidi="ar"/>
              </w:rPr>
              <w:t>SAE</w:t>
            </w:r>
            <w:r>
              <w:rPr>
                <w:rFonts w:hint="eastAsia" w:ascii="宋体" w:hAnsi="宋体" w:eastAsia="宋体" w:cs="宋体"/>
                <w:color w:val="000000"/>
                <w:kern w:val="2"/>
                <w:sz w:val="21"/>
                <w:szCs w:val="21"/>
                <w:lang w:val="en-US" w:eastAsia="zh-CN" w:bidi="ar"/>
              </w:rPr>
              <w:t>，与药物相关性判断标准符合试验方案规定和医疗常规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研究者确保发生</w:t>
            </w:r>
            <w:r>
              <w:rPr>
                <w:rFonts w:hint="default" w:ascii="宋体" w:hAnsi="宋体" w:eastAsia="宋体" w:cs="宋体"/>
                <w:color w:val="000000"/>
                <w:kern w:val="2"/>
                <w:sz w:val="21"/>
                <w:szCs w:val="21"/>
                <w:lang w:val="en-US" w:eastAsia="zh-CN" w:bidi="ar"/>
              </w:rPr>
              <w:t>AE</w:t>
            </w:r>
            <w:r>
              <w:rPr>
                <w:rFonts w:hint="eastAsia" w:ascii="宋体" w:hAnsi="宋体" w:eastAsia="宋体" w:cs="宋体"/>
                <w:color w:val="000000"/>
                <w:kern w:val="2"/>
                <w:sz w:val="21"/>
                <w:szCs w:val="21"/>
                <w:lang w:val="en-US" w:eastAsia="zh-CN" w:bidi="ar"/>
              </w:rPr>
              <w:t>、</w:t>
            </w:r>
            <w:r>
              <w:rPr>
                <w:rFonts w:hint="default" w:ascii="宋体" w:hAnsi="宋体" w:eastAsia="宋体" w:cs="宋体"/>
                <w:color w:val="000000"/>
                <w:kern w:val="2"/>
                <w:sz w:val="21"/>
                <w:szCs w:val="21"/>
                <w:lang w:val="en-US" w:eastAsia="zh-CN" w:bidi="ar"/>
              </w:rPr>
              <w:t>SAE</w:t>
            </w:r>
            <w:r>
              <w:rPr>
                <w:rFonts w:hint="eastAsia" w:ascii="宋体" w:hAnsi="宋体" w:eastAsia="宋体" w:cs="宋体"/>
                <w:color w:val="000000"/>
                <w:kern w:val="2"/>
                <w:sz w:val="21"/>
                <w:szCs w:val="21"/>
                <w:lang w:val="en-US" w:eastAsia="zh-CN" w:bidi="ar"/>
              </w:rPr>
              <w:t>的受试者得到及时合理的观察与治疗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除试验方案或者其他文件中规定不需立即报告的</w:t>
            </w:r>
            <w:r>
              <w:rPr>
                <w:rFonts w:hint="default" w:ascii="宋体" w:hAnsi="宋体" w:eastAsia="宋体" w:cs="宋体"/>
                <w:color w:val="000000"/>
                <w:kern w:val="2"/>
                <w:sz w:val="21"/>
                <w:szCs w:val="21"/>
                <w:lang w:val="en-US" w:eastAsia="zh-CN" w:bidi="ar"/>
              </w:rPr>
              <w:t>SAE</w:t>
            </w:r>
            <w:r>
              <w:rPr>
                <w:rFonts w:hint="eastAsia" w:ascii="宋体" w:hAnsi="宋体" w:eastAsia="宋体" w:cs="宋体"/>
                <w:color w:val="000000"/>
                <w:kern w:val="2"/>
                <w:sz w:val="21"/>
                <w:szCs w:val="21"/>
                <w:lang w:val="en-US" w:eastAsia="zh-CN" w:bidi="ar"/>
              </w:rPr>
              <w:t>外，研究者立即向申办者书面报告所有</w:t>
            </w:r>
            <w:r>
              <w:rPr>
                <w:rFonts w:hint="default" w:ascii="宋体" w:hAnsi="宋体" w:eastAsia="宋体" w:cs="宋体"/>
                <w:color w:val="000000"/>
                <w:kern w:val="2"/>
                <w:sz w:val="21"/>
                <w:szCs w:val="21"/>
                <w:lang w:val="en-US" w:eastAsia="zh-CN" w:bidi="ar"/>
              </w:rPr>
              <w:t>SAE</w:t>
            </w:r>
            <w:r>
              <w:rPr>
                <w:rFonts w:hint="eastAsia" w:ascii="宋体" w:hAnsi="宋体" w:eastAsia="宋体" w:cs="宋体"/>
                <w:color w:val="000000"/>
                <w:kern w:val="2"/>
                <w:sz w:val="21"/>
                <w:szCs w:val="21"/>
                <w:lang w:val="en-US" w:eastAsia="zh-CN" w:bidi="ar"/>
              </w:rPr>
              <w:t>，随后及时提供详尽、书面的随访报告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涉及死亡事件的报告，研究者向申办者和伦理委员会提供其他所需要的资料，如尸检报告或最终医学报告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药物临床试验期间发生的可疑且非预期严重不良反应、研发期间安全性更新报告，申办者根据《药物临床试验期间安全性数据快速报告的标准和程序》中按有关程序和规范要求向药品审评部门、伦理委员会等进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4.临床试验数据记录和报告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临床试验源文件的管理符合医疗管理要求，源数据应满足临床试验数据质量通用标准（</w:t>
            </w:r>
            <w:r>
              <w:rPr>
                <w:rFonts w:hint="default" w:ascii="宋体" w:hAnsi="宋体" w:eastAsia="宋体" w:cs="宋体"/>
                <w:color w:val="000000"/>
                <w:kern w:val="2"/>
                <w:sz w:val="21"/>
                <w:szCs w:val="21"/>
                <w:lang w:val="en-US" w:eastAsia="zh-CN" w:bidi="ar"/>
              </w:rPr>
              <w:t>ALCOA+</w:t>
            </w:r>
            <w:r>
              <w:rPr>
                <w:rFonts w:hint="eastAsia" w:ascii="宋体" w:hAnsi="宋体" w:eastAsia="宋体" w:cs="宋体"/>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日常诊疗已使用电子病历系统的，临床试验应使用电子病历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以患者为受试者的临床试验，相关医疗记录载入门诊或住院病历。病历中记录受试者知情同意的具体时间和人员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源数据和病例报告表中的数据修改留痕，不掩盖初始数据，保留修改轨迹，注明修改理由，修改者签名并注明日期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病例报告表的填写和修改符合申办者提供的指南，病例报告表及其他报告中的数据准确、完整，清晰、及时，与源文件一致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病例报告表、总结报告（或数据库）中记录的</w:t>
            </w:r>
            <w:r>
              <w:rPr>
                <w:rFonts w:hint="default" w:ascii="宋体" w:hAnsi="宋体" w:eastAsia="宋体" w:cs="宋体"/>
                <w:color w:val="000000"/>
                <w:kern w:val="2"/>
                <w:sz w:val="21"/>
                <w:szCs w:val="21"/>
                <w:lang w:val="en-US" w:eastAsia="zh-CN" w:bidi="ar"/>
              </w:rPr>
              <w:t>AE</w:t>
            </w:r>
            <w:r>
              <w:rPr>
                <w:rFonts w:hint="eastAsia" w:ascii="宋体" w:hAnsi="宋体" w:eastAsia="宋体" w:cs="宋体"/>
                <w:color w:val="000000"/>
                <w:kern w:val="2"/>
                <w:sz w:val="21"/>
                <w:szCs w:val="21"/>
                <w:lang w:val="en-US" w:eastAsia="zh-CN" w:bidi="ar"/>
              </w:rPr>
              <w:t>相关数据与源数据一致，无漏记、误判和误记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病例报告表、总结报告（或数据库）中的</w:t>
            </w:r>
            <w:r>
              <w:rPr>
                <w:rFonts w:hint="default" w:ascii="宋体" w:hAnsi="宋体" w:eastAsia="宋体" w:cs="宋体"/>
                <w:color w:val="000000"/>
                <w:kern w:val="2"/>
                <w:sz w:val="21"/>
                <w:szCs w:val="21"/>
                <w:lang w:val="en-US" w:eastAsia="zh-CN" w:bidi="ar"/>
              </w:rPr>
              <w:t>SAE</w:t>
            </w:r>
            <w:r>
              <w:rPr>
                <w:rFonts w:hint="eastAsia" w:ascii="宋体" w:hAnsi="宋体" w:eastAsia="宋体" w:cs="宋体"/>
                <w:color w:val="000000"/>
                <w:kern w:val="2"/>
                <w:sz w:val="21"/>
                <w:szCs w:val="21"/>
                <w:lang w:val="en-US" w:eastAsia="zh-CN" w:bidi="ar"/>
              </w:rPr>
              <w:t>相关数据记录和报告情况与源数据一致，无漏记、误判和误记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4.8</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申报资料的总结报告中筛选、入选和完成临床试验的例数与实际例数一致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4.9</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受试者筛选失败、脱落、中止、退出和剔除按照临床试验方案的要求执行，记录实际情况并保存原始记录，证据链完整，与总结报告一致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4.10</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源数据、病例报告表、数据库及申报资料之间数据一致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5.临床试验数据溯源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5.1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病例报告表中入组、知情同意、病史或伴随疾病、访视、给药记录、病情记录等信息与试验源数据和</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或</w:t>
            </w:r>
            <w:r>
              <w:rPr>
                <w:rFonts w:hint="default" w:ascii="宋体" w:hAnsi="宋体" w:eastAsia="宋体" w:cs="宋体"/>
                <w:color w:val="000000"/>
                <w:kern w:val="2"/>
                <w:sz w:val="21"/>
                <w:szCs w:val="21"/>
                <w:lang w:val="en-US" w:eastAsia="zh-CN" w:bidi="ar"/>
              </w:rPr>
              <w:t>HIS</w:t>
            </w:r>
            <w:r>
              <w:rPr>
                <w:rFonts w:hint="eastAsia" w:ascii="宋体" w:hAnsi="宋体" w:eastAsia="宋体" w:cs="宋体"/>
                <w:color w:val="000000"/>
                <w:kern w:val="2"/>
                <w:sz w:val="21"/>
                <w:szCs w:val="21"/>
                <w:lang w:val="en-US" w:eastAsia="zh-CN" w:bidi="ar"/>
              </w:rPr>
              <w:t>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5.2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总结报告中记录的合并用药和合并治疗等可在</w:t>
            </w:r>
            <w:r>
              <w:rPr>
                <w:rFonts w:hint="default" w:ascii="宋体" w:hAnsi="宋体" w:eastAsia="宋体" w:cs="宋体"/>
                <w:color w:val="000000"/>
                <w:kern w:val="2"/>
                <w:sz w:val="21"/>
                <w:szCs w:val="21"/>
                <w:lang w:val="en-US" w:eastAsia="zh-CN" w:bidi="ar"/>
              </w:rPr>
              <w:t>HIS</w:t>
            </w:r>
            <w:r>
              <w:rPr>
                <w:rFonts w:hint="eastAsia" w:ascii="宋体" w:hAnsi="宋体" w:eastAsia="宋体" w:cs="宋体"/>
                <w:color w:val="000000"/>
                <w:kern w:val="2"/>
                <w:sz w:val="21"/>
                <w:szCs w:val="21"/>
                <w:lang w:val="en-US" w:eastAsia="zh-CN" w:bidi="ar"/>
              </w:rPr>
              <w:t>系统、医疗记录中或受试者日记卡中溯源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5.3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病例报告表中的来自临床试验机构检验科、影像科、心电图室、内镜室等的医学检查数据可在该机构的</w:t>
            </w:r>
            <w:r>
              <w:rPr>
                <w:rFonts w:hint="default" w:ascii="宋体" w:hAnsi="宋体" w:eastAsia="宋体" w:cs="宋体"/>
                <w:color w:val="000000"/>
                <w:kern w:val="2"/>
                <w:sz w:val="21"/>
                <w:szCs w:val="21"/>
                <w:lang w:val="en-US" w:eastAsia="zh-CN" w:bidi="ar"/>
              </w:rPr>
              <w:t>LIS</w:t>
            </w:r>
            <w:r>
              <w:rPr>
                <w:rFonts w:hint="eastAsia" w:ascii="宋体" w:hAnsi="宋体" w:eastAsia="宋体" w:cs="宋体"/>
                <w:color w:val="000000"/>
                <w:kern w:val="2"/>
                <w:sz w:val="21"/>
                <w:szCs w:val="21"/>
                <w:lang w:val="en-US" w:eastAsia="zh-CN" w:bidi="ar"/>
              </w:rPr>
              <w:t>、</w:t>
            </w:r>
            <w:r>
              <w:rPr>
                <w:rFonts w:hint="default" w:ascii="宋体" w:hAnsi="宋体" w:eastAsia="宋体" w:cs="宋体"/>
                <w:color w:val="000000"/>
                <w:kern w:val="2"/>
                <w:sz w:val="21"/>
                <w:szCs w:val="21"/>
                <w:lang w:val="en-US" w:eastAsia="zh-CN" w:bidi="ar"/>
              </w:rPr>
              <w:t>PACS</w:t>
            </w:r>
            <w:r>
              <w:rPr>
                <w:rFonts w:hint="eastAsia" w:ascii="宋体" w:hAnsi="宋体" w:eastAsia="宋体" w:cs="宋体"/>
                <w:color w:val="000000"/>
                <w:kern w:val="2"/>
                <w:sz w:val="21"/>
                <w:szCs w:val="21"/>
                <w:lang w:val="en-US" w:eastAsia="zh-CN" w:bidi="ar"/>
              </w:rPr>
              <w:t>等信息系统或仪器设备中溯源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5.4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经研究者评估得出的疗效和安全性数据溯源至评估人、评估时间、原始评估结果及其修改过程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5.5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以受试者自评结果作为疗效和安全性数据结果的溯源至有受试者署名确认的原始评估记录（如受试者日记卡、受试者自评报告等）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5.6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申报资料中的受试者编号、给药周期、给药顺序、制剂种类等信息与源数据之间一致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b/>
                <w:bCs/>
                <w:sz w:val="24"/>
                <w:szCs w:val="24"/>
                <w:lang w:val="en-US" w:eastAsia="zh-CN"/>
              </w:rPr>
              <w:t>四、试验用药品管理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具有试验用药品的来源证明、检验报告和在符合</w:t>
            </w:r>
            <w:r>
              <w:rPr>
                <w:rFonts w:hint="default" w:ascii="宋体" w:hAnsi="宋体" w:eastAsia="宋体" w:cs="宋体"/>
                <w:color w:val="000000"/>
                <w:kern w:val="2"/>
                <w:sz w:val="21"/>
                <w:szCs w:val="21"/>
                <w:lang w:val="en-US" w:eastAsia="zh-CN" w:bidi="ar"/>
              </w:rPr>
              <w:t>GMP</w:t>
            </w:r>
            <w:r>
              <w:rPr>
                <w:rFonts w:hint="eastAsia" w:ascii="宋体" w:hAnsi="宋体" w:eastAsia="宋体" w:cs="宋体"/>
                <w:color w:val="000000"/>
                <w:kern w:val="2"/>
                <w:sz w:val="21"/>
                <w:szCs w:val="21"/>
                <w:lang w:val="en-US" w:eastAsia="zh-CN" w:bidi="ar"/>
              </w:rPr>
              <w:t>条件下生产的证明文件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研究者和临床试验机构指派有资格的药师或其他人员管理试验用药品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试验用药品的接收、贮存、分发、使用、回收、退还及未使用药品的处置（如授权销毁）等环节留有记录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试验用药品运输和储存过程中的条件符合方案要求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试验用药品的使用数量、剩余数量和其他情况（如丢失、授权销毁等）与申办者提供的数量一致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药品管理各项记录中的试验用药品批号与药检报告、总结报告等资料一致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研究者对生物等效性试验的临床试验用药品进行随机抽取，并按要求留样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8</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临床试验用药品管理各环节的异常情况及时评估、处理、记录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生物样品管理</w:t>
            </w:r>
            <w:r>
              <w:rPr>
                <w:rFonts w:hint="eastAsia" w:ascii="宋体" w:hAnsi="宋体" w:cs="宋体"/>
                <w:b/>
                <w:bCs/>
                <w:sz w:val="24"/>
                <w:szCs w:val="24"/>
                <w:lang w:val="en-US" w:eastAsia="zh-CN"/>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生物样品采集、处理、储存、转运等各环节的管理遵守相应的规定并保存记录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生物样品的采集、处理、储存和转运的条件符合临床试验方案的要求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样本容器的标识易于识别和具有唯一性，且不泄露受试者隐私及制剂种类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生物样品管理各环节的异常情况及时评估、处理、记录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b/>
                <w:bCs/>
                <w:sz w:val="24"/>
                <w:szCs w:val="24"/>
                <w:lang w:val="en-US" w:eastAsia="zh-CN"/>
              </w:rPr>
              <w:t>六、中心实验室及独立评估机构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用于医学判断的检验项目和作为疗效和安全性指标的检验项目通过国家级室间质评或经其他方法验证以保证检测结果的可靠性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中心实验室建立临床检验报告发放制度（包括危急值报告制度），按照相关要求向研究者报告检验结果，保证检验报告的准确、及时和信息完整，保护受试者隐私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中心实验室建立有实验室质量管理体系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待测样本接收、处理、检验检测、储存、归还（如适用）、销毁等过程具有完整的记录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待测样本根据方案和</w:t>
            </w:r>
            <w:r>
              <w:rPr>
                <w:rFonts w:hint="default" w:ascii="宋体" w:hAnsi="宋体" w:eastAsia="宋体" w:cs="宋体"/>
                <w:color w:val="000000"/>
                <w:kern w:val="2"/>
                <w:sz w:val="21"/>
                <w:szCs w:val="21"/>
                <w:lang w:val="en-US" w:eastAsia="zh-CN" w:bidi="ar"/>
              </w:rPr>
              <w:t>SOP</w:t>
            </w:r>
            <w:r>
              <w:rPr>
                <w:rFonts w:hint="eastAsia" w:ascii="宋体" w:hAnsi="宋体" w:eastAsia="宋体" w:cs="宋体"/>
                <w:color w:val="000000"/>
                <w:kern w:val="2"/>
                <w:sz w:val="21"/>
                <w:szCs w:val="21"/>
                <w:lang w:val="en-US" w:eastAsia="zh-CN" w:bidi="ar"/>
              </w:rPr>
              <w:t>要求及时进行检测，复测符合试验方案和实验室相关</w:t>
            </w:r>
            <w:r>
              <w:rPr>
                <w:rFonts w:hint="default" w:ascii="宋体" w:hAnsi="宋体" w:eastAsia="宋体" w:cs="宋体"/>
                <w:color w:val="000000"/>
                <w:kern w:val="2"/>
                <w:sz w:val="21"/>
                <w:szCs w:val="21"/>
                <w:lang w:val="en-US" w:eastAsia="zh-CN" w:bidi="ar"/>
              </w:rPr>
              <w:t>SOP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检验方法经过验证</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确认并符合方案要求，保存方法学验证</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确认原始实验记录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仪器设备使用、维护、校准等记录完整。保存有仪器验证记录、仪器设备使用记录、检查维护记录等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8</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对临床试验数据进行独立评估的机构（如独立影像学评估中心、终点事件裁定委员会、终点病例判定委员会、数据安全监查委员会等）进行的评估流程、数据记录及修改按照相关指南及其章程、</w:t>
            </w:r>
            <w:r>
              <w:rPr>
                <w:rFonts w:hint="default" w:ascii="宋体" w:hAnsi="宋体" w:eastAsia="宋体" w:cs="宋体"/>
                <w:color w:val="000000"/>
                <w:kern w:val="2"/>
                <w:sz w:val="21"/>
                <w:szCs w:val="21"/>
                <w:lang w:val="en-US" w:eastAsia="zh-CN" w:bidi="ar"/>
              </w:rPr>
              <w:t>SOP</w:t>
            </w:r>
            <w:r>
              <w:rPr>
                <w:rFonts w:hint="eastAsia" w:ascii="宋体" w:hAnsi="宋体" w:eastAsia="宋体" w:cs="宋体"/>
                <w:color w:val="000000"/>
                <w:kern w:val="2"/>
                <w:sz w:val="21"/>
                <w:szCs w:val="21"/>
                <w:lang w:val="en-US" w:eastAsia="zh-CN" w:bidi="ar"/>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9</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对临床试验数据进行独立评估的人员具备相应资质且符合评估机构的相关指南或其章程要求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10</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独立评估结果可溯源至每位评估人员独立出具的评估报告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b/>
                <w:bCs/>
                <w:sz w:val="24"/>
                <w:szCs w:val="24"/>
                <w:lang w:val="en-US" w:eastAsia="zh-CN"/>
              </w:rPr>
              <w:t>七、临床试验数据采集与管理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纸质记录（记录本、记录纸）受控管理，表格进行版本控制。记录更改保持原有信息清晰可辨，注明修改人姓名、修改日期和理由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电子数据采集系统经过系统验证，并保存验证记录。计算机化系统设置用户管理、角色管理和权限管理，不同人员或角色具有唯一登录权限。具有稽查轨迹功能，能够显示修改数据与修改原因的记录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若数据处理过程中发生数据转换，确保转换后的数据与原数据一致和该数据转化过程的可见性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外部数据确保数据可溯源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数据库锁定的条件和流程遵守数据库锁定的</w:t>
            </w:r>
            <w:r>
              <w:rPr>
                <w:rFonts w:hint="default" w:ascii="宋体" w:hAnsi="宋体" w:eastAsia="宋体" w:cs="宋体"/>
                <w:color w:val="000000"/>
                <w:kern w:val="2"/>
                <w:sz w:val="21"/>
                <w:szCs w:val="21"/>
                <w:lang w:val="en-US" w:eastAsia="zh-CN" w:bidi="ar"/>
              </w:rPr>
              <w:t>SOP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数据库锁定过程和时间有明确的文档记录，对于盲法临床试验，数据库锁定后才进行揭盲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b/>
                <w:bCs/>
                <w:sz w:val="24"/>
                <w:szCs w:val="24"/>
                <w:lang w:val="en-US" w:eastAsia="zh-CN"/>
              </w:rPr>
              <w:t>八、委托研究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临床试验涉及到的所有由其他部门或单位进行的研究、检测等工作，签有委托协议</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合同，对委托方和被委托方的责任义务予以明确。委托协议</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合同反映的委托单位、时间、项目及方案等与申报资料记载一致。被委托机构出具的报告书或图谱等研究结果为加盖其公章的原件。根据审评需要对被委托机构进行现场核查，以确证其研究条件和研究情况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Times New Roman"/>
                <w:color w:val="000000"/>
                <w:kern w:val="2"/>
                <w:sz w:val="32"/>
                <w:szCs w:val="32"/>
                <w:lang w:val="en-US" w:eastAsia="zh-CN" w:bidi="ar"/>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我确定本次研究所获得的数据是完全、真实和准确的，研究是遵照研究方案进行的。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bookmarkStart w:id="0" w:name="_GoBack"/>
      <w:bookmarkEnd w:id="0"/>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监查员签字：                     日期：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年    月     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专业PI签字：                    日期：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lang w:eastAsia="zh-CN"/>
      </w:rPr>
      <w:t>山东中医药大学附属医院</w:t>
    </w:r>
    <w:r>
      <w:rPr>
        <w:rFonts w:hint="eastAsia"/>
        <w:lang w:val="en-US" w:eastAsia="zh-CN"/>
      </w:rPr>
      <w:t xml:space="preserve">              机构           版本号：</w:t>
    </w:r>
    <w:r>
      <w:rPr>
        <w:rFonts w:hint="default" w:ascii="Times New Roman" w:hAnsi="Times New Roman" w:cs="Times New Roman"/>
        <w:lang w:val="en-US" w:eastAsia="zh-CN"/>
      </w:rPr>
      <w:t>01</w:t>
    </w:r>
    <w:r>
      <w:rPr>
        <w:rFonts w:hint="eastAsia"/>
        <w:lang w:val="en-US" w:eastAsia="zh-CN"/>
      </w:rPr>
      <w:t xml:space="preserve">             版本日期：</w:t>
    </w:r>
    <w:r>
      <w:rPr>
        <w:rFonts w:hint="default" w:ascii="Times New Roman" w:hAnsi="Times New Roman" w:cs="Times New Roman"/>
        <w:lang w:val="en-US" w:eastAsia="zh-CN"/>
      </w:rPr>
      <w:t>20240126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5BAF2"/>
    <w:multiLevelType w:val="singleLevel"/>
    <w:tmpl w:val="1675BA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Dk2ZGU0MDk5NmU1MTI3ZGUxMzZhNWVkYmY5NzMifQ=="/>
  </w:docVars>
  <w:rsids>
    <w:rsidRoot w:val="00000000"/>
    <w:rsid w:val="144B5773"/>
    <w:rsid w:val="17AF722A"/>
    <w:rsid w:val="18B15671"/>
    <w:rsid w:val="1D813BCE"/>
    <w:rsid w:val="250C7A19"/>
    <w:rsid w:val="300071D2"/>
    <w:rsid w:val="414172FF"/>
    <w:rsid w:val="5EED5FB3"/>
    <w:rsid w:val="79B6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牛奶糖</cp:lastModifiedBy>
  <dcterms:modified xsi:type="dcterms:W3CDTF">2024-01-30T06:36:12Z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0427C54F5E5D44FBA55093F21807FC02_12</vt:lpwstr>
  </property>
</Properties>
</file>